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F9DF34" w14:textId="08B3111D" w:rsidR="0003448A" w:rsidRPr="00103C70" w:rsidRDefault="00103C70" w:rsidP="0003448A">
      <w:pPr>
        <w:spacing w:after="0"/>
        <w:rPr>
          <w:b/>
          <w:bCs/>
          <w:color w:val="EE0000"/>
          <w:sz w:val="32"/>
          <w:szCs w:val="32"/>
          <w:u w:val="single"/>
        </w:rPr>
      </w:pPr>
      <w:r>
        <w:rPr>
          <w:b/>
          <w:bCs/>
          <w:color w:val="EE0000"/>
          <w:sz w:val="32"/>
          <w:szCs w:val="32"/>
          <w:u w:val="single"/>
        </w:rPr>
        <w:t>LA SEGUNDA REVOLUCIÓN INDUSTRIAL</w:t>
      </w:r>
    </w:p>
    <w:p w14:paraId="2DF2A7DC" w14:textId="77777777" w:rsidR="00103C70" w:rsidRDefault="00103C70" w:rsidP="0003448A">
      <w:pPr>
        <w:spacing w:after="0"/>
        <w:rPr>
          <w:b/>
          <w:bCs/>
          <w:color w:val="FF0000"/>
          <w:sz w:val="24"/>
          <w:szCs w:val="24"/>
        </w:rPr>
      </w:pPr>
    </w:p>
    <w:p w14:paraId="37F489E9" w14:textId="58A430D8" w:rsidR="0003448A" w:rsidRPr="00DD2FAC" w:rsidRDefault="0003448A" w:rsidP="0003448A">
      <w:pPr>
        <w:spacing w:after="0"/>
        <w:rPr>
          <w:b/>
          <w:bCs/>
          <w:color w:val="FF0000"/>
          <w:sz w:val="24"/>
          <w:szCs w:val="24"/>
        </w:rPr>
      </w:pPr>
      <w:r w:rsidRPr="00DD2FAC">
        <w:rPr>
          <w:b/>
          <w:bCs/>
          <w:color w:val="FF0000"/>
          <w:sz w:val="24"/>
          <w:szCs w:val="24"/>
        </w:rPr>
        <w:t xml:space="preserve">¿Qué fue la Segunda Revolución Industrial? </w:t>
      </w:r>
    </w:p>
    <w:p w14:paraId="17E78A8F" w14:textId="77777777" w:rsidR="00103C70" w:rsidRDefault="00103C70" w:rsidP="0003448A">
      <w:pPr>
        <w:spacing w:after="0"/>
        <w:rPr>
          <w:sz w:val="24"/>
          <w:szCs w:val="24"/>
        </w:rPr>
      </w:pPr>
    </w:p>
    <w:p w14:paraId="3B5B7614" w14:textId="511E7125" w:rsidR="0003448A" w:rsidRDefault="0003448A" w:rsidP="00103C70">
      <w:pPr>
        <w:spacing w:after="0"/>
        <w:jc w:val="both"/>
        <w:rPr>
          <w:sz w:val="24"/>
          <w:szCs w:val="24"/>
        </w:rPr>
      </w:pPr>
      <w:r>
        <w:rPr>
          <w:sz w:val="24"/>
          <w:szCs w:val="24"/>
        </w:rPr>
        <w:t xml:space="preserve">La Segunda Revolución Industrial es el nombre con el que se conoce a la </w:t>
      </w:r>
      <w:r w:rsidRPr="00AE498E">
        <w:rPr>
          <w:b/>
          <w:bCs/>
          <w:color w:val="156082" w:themeColor="accent1"/>
          <w:sz w:val="24"/>
          <w:szCs w:val="24"/>
        </w:rPr>
        <w:t>segunda fase de la Revolución Industrial</w:t>
      </w:r>
      <w:r>
        <w:rPr>
          <w:sz w:val="24"/>
          <w:szCs w:val="24"/>
        </w:rPr>
        <w:t xml:space="preserve">. Esta fase se produjo a </w:t>
      </w:r>
      <w:r w:rsidRPr="00AE498E">
        <w:rPr>
          <w:b/>
          <w:bCs/>
          <w:color w:val="156082" w:themeColor="accent1"/>
          <w:sz w:val="24"/>
          <w:szCs w:val="24"/>
        </w:rPr>
        <w:t>finales del siglo XIX (comienza hacia 1870)</w:t>
      </w:r>
      <w:r>
        <w:rPr>
          <w:sz w:val="24"/>
          <w:szCs w:val="24"/>
        </w:rPr>
        <w:t xml:space="preserve">. </w:t>
      </w:r>
    </w:p>
    <w:p w14:paraId="3ECDAD37" w14:textId="77777777" w:rsidR="0003448A" w:rsidRDefault="0003448A" w:rsidP="00103C70">
      <w:pPr>
        <w:spacing w:after="0"/>
        <w:jc w:val="both"/>
        <w:rPr>
          <w:sz w:val="24"/>
          <w:szCs w:val="24"/>
        </w:rPr>
      </w:pPr>
      <w:r>
        <w:rPr>
          <w:sz w:val="24"/>
          <w:szCs w:val="24"/>
        </w:rPr>
        <w:t xml:space="preserve">Presenta </w:t>
      </w:r>
      <w:r w:rsidRPr="00AE498E">
        <w:rPr>
          <w:b/>
          <w:bCs/>
          <w:color w:val="156082" w:themeColor="accent1"/>
          <w:sz w:val="24"/>
          <w:szCs w:val="24"/>
        </w:rPr>
        <w:t>cuatro características</w:t>
      </w:r>
      <w:r>
        <w:rPr>
          <w:sz w:val="24"/>
          <w:szCs w:val="24"/>
        </w:rPr>
        <w:t xml:space="preserve">: </w:t>
      </w:r>
    </w:p>
    <w:p w14:paraId="737AE98C" w14:textId="77777777" w:rsidR="0003448A" w:rsidRDefault="0003448A" w:rsidP="00103C70">
      <w:pPr>
        <w:pStyle w:val="Prrafodelista"/>
        <w:numPr>
          <w:ilvl w:val="0"/>
          <w:numId w:val="1"/>
        </w:numPr>
        <w:spacing w:after="0"/>
        <w:jc w:val="both"/>
        <w:rPr>
          <w:sz w:val="24"/>
          <w:szCs w:val="24"/>
        </w:rPr>
      </w:pPr>
      <w:r w:rsidRPr="00AE498E">
        <w:rPr>
          <w:b/>
          <w:bCs/>
          <w:color w:val="156082" w:themeColor="accent1"/>
          <w:sz w:val="24"/>
          <w:szCs w:val="24"/>
        </w:rPr>
        <w:t>Nuevas fuentes de energía</w:t>
      </w:r>
      <w:r>
        <w:rPr>
          <w:sz w:val="24"/>
          <w:szCs w:val="24"/>
        </w:rPr>
        <w:t xml:space="preserve">: aparecieron nuevas fuentes de energía, la </w:t>
      </w:r>
      <w:r w:rsidRPr="00AE498E">
        <w:rPr>
          <w:b/>
          <w:bCs/>
          <w:color w:val="156082" w:themeColor="accent1"/>
          <w:sz w:val="24"/>
          <w:szCs w:val="24"/>
        </w:rPr>
        <w:t>electricidad y el petróleo</w:t>
      </w:r>
      <w:r>
        <w:rPr>
          <w:sz w:val="24"/>
          <w:szCs w:val="24"/>
        </w:rPr>
        <w:t xml:space="preserve">, que sustituyen al carbón. </w:t>
      </w:r>
    </w:p>
    <w:p w14:paraId="4D5EA681" w14:textId="77777777" w:rsidR="0003448A" w:rsidRDefault="0003448A" w:rsidP="00103C70">
      <w:pPr>
        <w:pStyle w:val="Prrafodelista"/>
        <w:spacing w:after="0"/>
        <w:jc w:val="both"/>
        <w:rPr>
          <w:sz w:val="24"/>
          <w:szCs w:val="24"/>
        </w:rPr>
      </w:pPr>
    </w:p>
    <w:p w14:paraId="43268C70" w14:textId="77777777" w:rsidR="0003448A" w:rsidRDefault="0003448A" w:rsidP="00103C70">
      <w:pPr>
        <w:pStyle w:val="Prrafodelista"/>
        <w:numPr>
          <w:ilvl w:val="0"/>
          <w:numId w:val="1"/>
        </w:numPr>
        <w:spacing w:after="0"/>
        <w:jc w:val="both"/>
        <w:rPr>
          <w:sz w:val="24"/>
          <w:szCs w:val="24"/>
        </w:rPr>
      </w:pPr>
      <w:r w:rsidRPr="00AE498E">
        <w:rPr>
          <w:b/>
          <w:bCs/>
          <w:color w:val="156082" w:themeColor="accent1"/>
          <w:sz w:val="24"/>
          <w:szCs w:val="24"/>
        </w:rPr>
        <w:t>Nuevas industrias</w:t>
      </w:r>
      <w:r>
        <w:rPr>
          <w:sz w:val="24"/>
          <w:szCs w:val="24"/>
        </w:rPr>
        <w:t xml:space="preserve">, vinculadas al desarrollo de la metalurgia, como la industria del </w:t>
      </w:r>
      <w:r w:rsidRPr="00AE498E">
        <w:rPr>
          <w:b/>
          <w:bCs/>
          <w:color w:val="156082" w:themeColor="accent1"/>
          <w:sz w:val="24"/>
          <w:szCs w:val="24"/>
        </w:rPr>
        <w:t>automóvil</w:t>
      </w:r>
      <w:r>
        <w:rPr>
          <w:sz w:val="24"/>
          <w:szCs w:val="24"/>
        </w:rPr>
        <w:t xml:space="preserve"> y de la </w:t>
      </w:r>
      <w:r w:rsidRPr="00AE498E">
        <w:rPr>
          <w:b/>
          <w:bCs/>
          <w:color w:val="156082" w:themeColor="accent1"/>
          <w:sz w:val="24"/>
          <w:szCs w:val="24"/>
        </w:rPr>
        <w:t>aviación</w:t>
      </w:r>
      <w:r>
        <w:rPr>
          <w:sz w:val="24"/>
          <w:szCs w:val="24"/>
        </w:rPr>
        <w:t xml:space="preserve">. </w:t>
      </w:r>
    </w:p>
    <w:p w14:paraId="38E67BE8" w14:textId="77777777" w:rsidR="0003448A" w:rsidRDefault="0003448A" w:rsidP="00103C70">
      <w:pPr>
        <w:pStyle w:val="Prrafodelista"/>
        <w:numPr>
          <w:ilvl w:val="0"/>
          <w:numId w:val="1"/>
        </w:numPr>
        <w:spacing w:after="0"/>
        <w:jc w:val="both"/>
        <w:rPr>
          <w:sz w:val="24"/>
          <w:szCs w:val="24"/>
        </w:rPr>
      </w:pPr>
      <w:r>
        <w:rPr>
          <w:sz w:val="24"/>
          <w:szCs w:val="24"/>
        </w:rPr>
        <w:t xml:space="preserve">Gran desarrollo de la </w:t>
      </w:r>
      <w:r w:rsidRPr="00AE498E">
        <w:rPr>
          <w:b/>
          <w:bCs/>
          <w:color w:val="156082" w:themeColor="accent1"/>
          <w:sz w:val="24"/>
          <w:szCs w:val="24"/>
        </w:rPr>
        <w:t>industria química</w:t>
      </w:r>
      <w:r>
        <w:rPr>
          <w:sz w:val="24"/>
          <w:szCs w:val="24"/>
        </w:rPr>
        <w:t xml:space="preserve">: destacó la elaboración de pesticidas, abonos, medicinas, tintes, etc. </w:t>
      </w:r>
    </w:p>
    <w:p w14:paraId="7D2C373D" w14:textId="77777777" w:rsidR="0003448A" w:rsidRDefault="0003448A" w:rsidP="00103C70">
      <w:pPr>
        <w:pStyle w:val="Prrafodelista"/>
        <w:spacing w:after="0"/>
        <w:jc w:val="both"/>
        <w:rPr>
          <w:sz w:val="24"/>
          <w:szCs w:val="24"/>
        </w:rPr>
      </w:pPr>
    </w:p>
    <w:p w14:paraId="245015B3" w14:textId="77777777" w:rsidR="0003448A" w:rsidRDefault="0003448A" w:rsidP="00103C70">
      <w:pPr>
        <w:pStyle w:val="Prrafodelista"/>
        <w:numPr>
          <w:ilvl w:val="0"/>
          <w:numId w:val="1"/>
        </w:numPr>
        <w:spacing w:after="0"/>
        <w:jc w:val="both"/>
        <w:rPr>
          <w:sz w:val="24"/>
          <w:szCs w:val="24"/>
        </w:rPr>
      </w:pPr>
      <w:r w:rsidRPr="00AE498E">
        <w:rPr>
          <w:b/>
          <w:bCs/>
          <w:color w:val="156082" w:themeColor="accent1"/>
          <w:sz w:val="24"/>
          <w:szCs w:val="24"/>
        </w:rPr>
        <w:t>Nuevas potencias industriales</w:t>
      </w:r>
      <w:r>
        <w:rPr>
          <w:sz w:val="24"/>
          <w:szCs w:val="24"/>
        </w:rPr>
        <w:t xml:space="preserve">: si en la primera fase de la Revolución Industrial Gran Bretaña fue el país pionero, en la segunda fase tuvo que compartir el liderazgo económico con otras potencias industriales: </w:t>
      </w:r>
      <w:r w:rsidRPr="00AE498E">
        <w:rPr>
          <w:b/>
          <w:bCs/>
          <w:color w:val="156082" w:themeColor="accent1"/>
          <w:sz w:val="24"/>
          <w:szCs w:val="24"/>
        </w:rPr>
        <w:t xml:space="preserve">Alemania, </w:t>
      </w:r>
      <w:proofErr w:type="gramStart"/>
      <w:r w:rsidRPr="00AE498E">
        <w:rPr>
          <w:b/>
          <w:bCs/>
          <w:color w:val="156082" w:themeColor="accent1"/>
          <w:sz w:val="24"/>
          <w:szCs w:val="24"/>
        </w:rPr>
        <w:t>EE.UU.</w:t>
      </w:r>
      <w:proofErr w:type="gramEnd"/>
      <w:r w:rsidRPr="00AE498E">
        <w:rPr>
          <w:b/>
          <w:bCs/>
          <w:color w:val="156082" w:themeColor="accent1"/>
          <w:sz w:val="24"/>
          <w:szCs w:val="24"/>
        </w:rPr>
        <w:t xml:space="preserve"> y Japón</w:t>
      </w:r>
      <w:r>
        <w:rPr>
          <w:sz w:val="24"/>
          <w:szCs w:val="24"/>
        </w:rPr>
        <w:t xml:space="preserve">. </w:t>
      </w:r>
    </w:p>
    <w:p w14:paraId="2F5D354B" w14:textId="77777777" w:rsidR="0003448A" w:rsidRDefault="0003448A" w:rsidP="0003448A">
      <w:pPr>
        <w:spacing w:after="0"/>
        <w:rPr>
          <w:sz w:val="24"/>
          <w:szCs w:val="24"/>
        </w:rPr>
      </w:pPr>
    </w:p>
    <w:p w14:paraId="25D239BE" w14:textId="5CE838B4" w:rsidR="0003448A" w:rsidRPr="00AE498E" w:rsidRDefault="0003448A" w:rsidP="0003448A">
      <w:pPr>
        <w:spacing w:after="0"/>
        <w:rPr>
          <w:b/>
          <w:bCs/>
          <w:color w:val="FF0000"/>
          <w:sz w:val="24"/>
          <w:szCs w:val="24"/>
        </w:rPr>
      </w:pPr>
      <w:r w:rsidRPr="00AE498E">
        <w:rPr>
          <w:b/>
          <w:bCs/>
          <w:color w:val="FF0000"/>
          <w:sz w:val="24"/>
          <w:szCs w:val="24"/>
        </w:rPr>
        <w:t xml:space="preserve">¿Qué cambios experimentó la organización de la industria en la Segunda Revolución Industrial? </w:t>
      </w:r>
    </w:p>
    <w:p w14:paraId="0CEA4F5A" w14:textId="77777777" w:rsidR="00103C70" w:rsidRDefault="00103C70" w:rsidP="0003448A">
      <w:pPr>
        <w:spacing w:after="0"/>
        <w:rPr>
          <w:sz w:val="24"/>
          <w:szCs w:val="24"/>
        </w:rPr>
      </w:pPr>
    </w:p>
    <w:p w14:paraId="0CFDEA0B" w14:textId="53D42708" w:rsidR="0003448A" w:rsidRDefault="0003448A" w:rsidP="00103C70">
      <w:pPr>
        <w:spacing w:after="0"/>
        <w:jc w:val="both"/>
        <w:rPr>
          <w:sz w:val="24"/>
          <w:szCs w:val="24"/>
        </w:rPr>
      </w:pPr>
      <w:r>
        <w:rPr>
          <w:sz w:val="24"/>
          <w:szCs w:val="24"/>
        </w:rPr>
        <w:t xml:space="preserve">La organización de la industria en la Segunda Revolución Industrial experimentó varios cambios destacados: </w:t>
      </w:r>
    </w:p>
    <w:p w14:paraId="04086E6F" w14:textId="77777777" w:rsidR="0003448A" w:rsidRDefault="0003448A" w:rsidP="00103C70">
      <w:pPr>
        <w:spacing w:after="0"/>
        <w:jc w:val="both"/>
        <w:rPr>
          <w:sz w:val="24"/>
          <w:szCs w:val="24"/>
        </w:rPr>
      </w:pPr>
    </w:p>
    <w:p w14:paraId="528141E9" w14:textId="77777777" w:rsidR="0003448A" w:rsidRDefault="0003448A" w:rsidP="00103C70">
      <w:pPr>
        <w:pStyle w:val="Prrafodelista"/>
        <w:numPr>
          <w:ilvl w:val="0"/>
          <w:numId w:val="2"/>
        </w:numPr>
        <w:spacing w:after="0"/>
        <w:jc w:val="both"/>
        <w:rPr>
          <w:sz w:val="24"/>
          <w:szCs w:val="24"/>
        </w:rPr>
      </w:pPr>
      <w:r w:rsidRPr="00AE498E">
        <w:rPr>
          <w:b/>
          <w:bCs/>
          <w:color w:val="156082" w:themeColor="accent1"/>
          <w:sz w:val="24"/>
          <w:szCs w:val="24"/>
        </w:rPr>
        <w:t>Taylorismo o trabajo en cadena</w:t>
      </w:r>
      <w:r>
        <w:rPr>
          <w:sz w:val="24"/>
          <w:szCs w:val="24"/>
        </w:rPr>
        <w:t xml:space="preserve">: la organización de la producción pasó a funcionar a través de este método de trabajo, que se basaba en la fabricación en cadena, dividiendo las partes del proceso de producción en tareas muy concretas. El taylorismo permitió aumentar la productividad, disminuir el tiempo empleado y reducir los costes de fabricación. </w:t>
      </w:r>
    </w:p>
    <w:p w14:paraId="43CA5A37" w14:textId="77777777" w:rsidR="0003448A" w:rsidRDefault="0003448A" w:rsidP="0003448A">
      <w:pPr>
        <w:pStyle w:val="Prrafodelista"/>
        <w:spacing w:after="0"/>
        <w:rPr>
          <w:sz w:val="24"/>
          <w:szCs w:val="24"/>
        </w:rPr>
      </w:pPr>
    </w:p>
    <w:p w14:paraId="44F3D043" w14:textId="77777777" w:rsidR="0003448A" w:rsidRDefault="0003448A" w:rsidP="00103C70">
      <w:pPr>
        <w:pStyle w:val="Prrafodelista"/>
        <w:numPr>
          <w:ilvl w:val="0"/>
          <w:numId w:val="2"/>
        </w:numPr>
        <w:spacing w:after="0"/>
        <w:jc w:val="both"/>
        <w:rPr>
          <w:sz w:val="24"/>
          <w:szCs w:val="24"/>
        </w:rPr>
      </w:pPr>
      <w:r w:rsidRPr="00AE498E">
        <w:rPr>
          <w:b/>
          <w:bCs/>
          <w:color w:val="156082" w:themeColor="accent1"/>
          <w:sz w:val="24"/>
          <w:szCs w:val="24"/>
        </w:rPr>
        <w:t>Concentración industrial</w:t>
      </w:r>
      <w:r>
        <w:rPr>
          <w:sz w:val="24"/>
          <w:szCs w:val="24"/>
        </w:rPr>
        <w:t xml:space="preserve">: debido a los elevados costes en maquinaria, las empresas se agruparon y aparecieron las primeras grandes empresas. Estas empresas firmaban acuerdos para restringir la competencia, fijar precios y establecer áreas de influencia. Así nacieron el cártel, el trust, el holding y el monopolio. </w:t>
      </w:r>
    </w:p>
    <w:p w14:paraId="588983D6" w14:textId="77777777" w:rsidR="0003448A" w:rsidRDefault="0003448A" w:rsidP="00103C70">
      <w:pPr>
        <w:pStyle w:val="Prrafodelista"/>
        <w:numPr>
          <w:ilvl w:val="0"/>
          <w:numId w:val="3"/>
        </w:numPr>
        <w:spacing w:after="0"/>
        <w:jc w:val="both"/>
        <w:rPr>
          <w:sz w:val="24"/>
          <w:szCs w:val="24"/>
        </w:rPr>
      </w:pPr>
      <w:r>
        <w:rPr>
          <w:b/>
          <w:bCs/>
          <w:color w:val="156082" w:themeColor="accent1"/>
          <w:sz w:val="24"/>
          <w:szCs w:val="24"/>
        </w:rPr>
        <w:t>Cártel</w:t>
      </w:r>
      <w:r w:rsidRPr="00AE498E">
        <w:rPr>
          <w:sz w:val="24"/>
          <w:szCs w:val="24"/>
        </w:rPr>
        <w:t>:</w:t>
      </w:r>
      <w:r>
        <w:rPr>
          <w:sz w:val="24"/>
          <w:szCs w:val="24"/>
        </w:rPr>
        <w:t xml:space="preserve"> asociación de empresas para fijar producción y precios. </w:t>
      </w:r>
    </w:p>
    <w:p w14:paraId="2E939F5B" w14:textId="77777777" w:rsidR="0003448A" w:rsidRDefault="0003448A" w:rsidP="00103C70">
      <w:pPr>
        <w:pStyle w:val="Prrafodelista"/>
        <w:numPr>
          <w:ilvl w:val="0"/>
          <w:numId w:val="3"/>
        </w:numPr>
        <w:spacing w:after="0"/>
        <w:jc w:val="both"/>
        <w:rPr>
          <w:sz w:val="24"/>
          <w:szCs w:val="24"/>
        </w:rPr>
      </w:pPr>
      <w:r>
        <w:rPr>
          <w:b/>
          <w:bCs/>
          <w:color w:val="156082" w:themeColor="accent1"/>
          <w:sz w:val="24"/>
          <w:szCs w:val="24"/>
        </w:rPr>
        <w:t>Trust</w:t>
      </w:r>
      <w:r w:rsidRPr="00AE498E">
        <w:rPr>
          <w:sz w:val="24"/>
          <w:szCs w:val="24"/>
        </w:rPr>
        <w:t>:</w:t>
      </w:r>
      <w:r>
        <w:rPr>
          <w:sz w:val="24"/>
          <w:szCs w:val="24"/>
        </w:rPr>
        <w:t xml:space="preserve"> fusión de empresas de un mismo ramo, para crear una misma empresa. </w:t>
      </w:r>
    </w:p>
    <w:p w14:paraId="70552E23" w14:textId="77777777" w:rsidR="0003448A" w:rsidRDefault="0003448A" w:rsidP="00103C70">
      <w:pPr>
        <w:pStyle w:val="Prrafodelista"/>
        <w:numPr>
          <w:ilvl w:val="0"/>
          <w:numId w:val="3"/>
        </w:numPr>
        <w:spacing w:after="0"/>
        <w:jc w:val="both"/>
        <w:rPr>
          <w:sz w:val="24"/>
          <w:szCs w:val="24"/>
        </w:rPr>
      </w:pPr>
      <w:r>
        <w:rPr>
          <w:b/>
          <w:bCs/>
          <w:color w:val="156082" w:themeColor="accent1"/>
          <w:sz w:val="24"/>
          <w:szCs w:val="24"/>
        </w:rPr>
        <w:t>Holding</w:t>
      </w:r>
      <w:r w:rsidRPr="00AE498E">
        <w:rPr>
          <w:sz w:val="24"/>
          <w:szCs w:val="24"/>
        </w:rPr>
        <w:t>:</w:t>
      </w:r>
      <w:r>
        <w:rPr>
          <w:sz w:val="24"/>
          <w:szCs w:val="24"/>
        </w:rPr>
        <w:t xml:space="preserve"> grupo financiero para invertir capital. </w:t>
      </w:r>
    </w:p>
    <w:p w14:paraId="0ED7EAE1" w14:textId="77777777" w:rsidR="0003448A" w:rsidRDefault="0003448A" w:rsidP="00103C70">
      <w:pPr>
        <w:pStyle w:val="Prrafodelista"/>
        <w:numPr>
          <w:ilvl w:val="0"/>
          <w:numId w:val="3"/>
        </w:numPr>
        <w:spacing w:after="0"/>
        <w:jc w:val="both"/>
        <w:rPr>
          <w:sz w:val="24"/>
          <w:szCs w:val="24"/>
        </w:rPr>
      </w:pPr>
      <w:r>
        <w:rPr>
          <w:b/>
          <w:bCs/>
          <w:color w:val="156082" w:themeColor="accent1"/>
          <w:sz w:val="24"/>
          <w:szCs w:val="24"/>
        </w:rPr>
        <w:t>Monopolio</w:t>
      </w:r>
      <w:r w:rsidRPr="00AE498E">
        <w:rPr>
          <w:sz w:val="24"/>
          <w:szCs w:val="24"/>
        </w:rPr>
        <w:t>:</w:t>
      </w:r>
      <w:r>
        <w:rPr>
          <w:sz w:val="24"/>
          <w:szCs w:val="24"/>
        </w:rPr>
        <w:t xml:space="preserve"> derecho exclusivo de una empresa para comercializar un producto. </w:t>
      </w:r>
    </w:p>
    <w:p w14:paraId="0C5A7E73" w14:textId="77777777" w:rsidR="0003448A" w:rsidRDefault="0003448A" w:rsidP="00103C70">
      <w:pPr>
        <w:pStyle w:val="Prrafodelista"/>
        <w:spacing w:after="0"/>
        <w:ind w:left="1080"/>
        <w:jc w:val="both"/>
        <w:rPr>
          <w:sz w:val="24"/>
          <w:szCs w:val="24"/>
        </w:rPr>
      </w:pPr>
    </w:p>
    <w:p w14:paraId="06B1CAE9" w14:textId="77777777" w:rsidR="0003448A" w:rsidRDefault="0003448A" w:rsidP="00103C70">
      <w:pPr>
        <w:pStyle w:val="Prrafodelista"/>
        <w:numPr>
          <w:ilvl w:val="0"/>
          <w:numId w:val="2"/>
        </w:numPr>
        <w:spacing w:after="0"/>
        <w:jc w:val="both"/>
        <w:rPr>
          <w:sz w:val="24"/>
          <w:szCs w:val="24"/>
        </w:rPr>
      </w:pPr>
      <w:r w:rsidRPr="00766087">
        <w:rPr>
          <w:b/>
          <w:bCs/>
          <w:color w:val="156082" w:themeColor="accent1"/>
          <w:sz w:val="24"/>
          <w:szCs w:val="24"/>
        </w:rPr>
        <w:t>El dominio del comercio y las finanzas internacionales</w:t>
      </w:r>
      <w:r>
        <w:rPr>
          <w:sz w:val="24"/>
          <w:szCs w:val="24"/>
        </w:rPr>
        <w:t xml:space="preserve">. </w:t>
      </w:r>
    </w:p>
    <w:p w14:paraId="6807A065" w14:textId="77777777" w:rsidR="00103C70" w:rsidRDefault="00103C70" w:rsidP="00103C70">
      <w:pPr>
        <w:spacing w:after="0"/>
        <w:ind w:left="360"/>
        <w:jc w:val="both"/>
        <w:rPr>
          <w:sz w:val="24"/>
          <w:szCs w:val="24"/>
        </w:rPr>
      </w:pPr>
    </w:p>
    <w:p w14:paraId="6DC20AE8" w14:textId="13F2E353" w:rsidR="0003448A" w:rsidRDefault="0003448A" w:rsidP="00103C70">
      <w:pPr>
        <w:spacing w:after="0"/>
        <w:ind w:left="360"/>
        <w:jc w:val="both"/>
        <w:rPr>
          <w:sz w:val="24"/>
          <w:szCs w:val="24"/>
        </w:rPr>
      </w:pPr>
      <w:r>
        <w:rPr>
          <w:sz w:val="24"/>
          <w:szCs w:val="24"/>
        </w:rPr>
        <w:t xml:space="preserve">A finales del siglo XIX, los países industriales dominaban el comercio mundial. </w:t>
      </w:r>
    </w:p>
    <w:p w14:paraId="4829644F" w14:textId="77777777" w:rsidR="0003448A" w:rsidRDefault="0003448A" w:rsidP="00103C70">
      <w:pPr>
        <w:spacing w:after="0"/>
        <w:ind w:left="360"/>
        <w:jc w:val="both"/>
        <w:rPr>
          <w:sz w:val="24"/>
          <w:szCs w:val="24"/>
        </w:rPr>
      </w:pPr>
      <w:r>
        <w:rPr>
          <w:sz w:val="24"/>
          <w:szCs w:val="24"/>
        </w:rPr>
        <w:t xml:space="preserve">El aumento del comercio internacional fue posible gracias a los </w:t>
      </w:r>
      <w:r w:rsidRPr="001E3F55">
        <w:rPr>
          <w:b/>
          <w:bCs/>
          <w:color w:val="156082" w:themeColor="accent1"/>
          <w:sz w:val="24"/>
          <w:szCs w:val="24"/>
        </w:rPr>
        <w:t>progresos del transporte: ferrocarriles transcontinentales y apertura de los canales de Suez en 1869 y Panamá en 1914.</w:t>
      </w:r>
      <w:r>
        <w:rPr>
          <w:sz w:val="24"/>
          <w:szCs w:val="24"/>
        </w:rPr>
        <w:t xml:space="preserve"> También hay innovaciones en las </w:t>
      </w:r>
      <w:r w:rsidRPr="001E3F55">
        <w:rPr>
          <w:b/>
          <w:bCs/>
          <w:color w:val="156082" w:themeColor="accent1"/>
          <w:sz w:val="24"/>
          <w:szCs w:val="24"/>
        </w:rPr>
        <w:t>formas de venta: a plazos, grandes almacenes,</w:t>
      </w:r>
      <w:r>
        <w:rPr>
          <w:sz w:val="24"/>
          <w:szCs w:val="24"/>
        </w:rPr>
        <w:t xml:space="preserve"> etc. </w:t>
      </w:r>
    </w:p>
    <w:p w14:paraId="76FA189E" w14:textId="77777777" w:rsidR="0003448A" w:rsidRDefault="0003448A" w:rsidP="00103C70">
      <w:pPr>
        <w:spacing w:after="0"/>
        <w:ind w:left="360"/>
        <w:jc w:val="both"/>
        <w:rPr>
          <w:sz w:val="24"/>
          <w:szCs w:val="24"/>
        </w:rPr>
      </w:pPr>
      <w:r>
        <w:rPr>
          <w:sz w:val="24"/>
          <w:szCs w:val="24"/>
        </w:rPr>
        <w:t xml:space="preserve">También Europa, y después </w:t>
      </w:r>
      <w:proofErr w:type="gramStart"/>
      <w:r>
        <w:rPr>
          <w:sz w:val="24"/>
          <w:szCs w:val="24"/>
        </w:rPr>
        <w:t>EE.UU.</w:t>
      </w:r>
      <w:proofErr w:type="gramEnd"/>
      <w:r>
        <w:rPr>
          <w:sz w:val="24"/>
          <w:szCs w:val="24"/>
        </w:rPr>
        <w:t xml:space="preserve">, tenían el </w:t>
      </w:r>
      <w:r w:rsidRPr="001E3F55">
        <w:rPr>
          <w:b/>
          <w:bCs/>
          <w:color w:val="156082" w:themeColor="accent1"/>
          <w:sz w:val="24"/>
          <w:szCs w:val="24"/>
        </w:rPr>
        <w:t>dominio financiero</w:t>
      </w:r>
      <w:r w:rsidRPr="001E3F55">
        <w:rPr>
          <w:color w:val="156082" w:themeColor="accent1"/>
          <w:sz w:val="24"/>
          <w:szCs w:val="24"/>
        </w:rPr>
        <w:t xml:space="preserve"> </w:t>
      </w:r>
      <w:r>
        <w:rPr>
          <w:sz w:val="24"/>
          <w:szCs w:val="24"/>
        </w:rPr>
        <w:t xml:space="preserve">del mundo: invierten capitales en el mundo entero, lo que proporciona </w:t>
      </w:r>
      <w:r w:rsidRPr="001E3F55">
        <w:rPr>
          <w:b/>
          <w:bCs/>
          <w:color w:val="156082" w:themeColor="accent1"/>
          <w:sz w:val="24"/>
          <w:szCs w:val="24"/>
        </w:rPr>
        <w:t>grandes beneficios a los bancos y a los particulares</w:t>
      </w:r>
      <w:r>
        <w:rPr>
          <w:sz w:val="24"/>
          <w:szCs w:val="24"/>
        </w:rPr>
        <w:t xml:space="preserve">. </w:t>
      </w:r>
    </w:p>
    <w:p w14:paraId="2A3377C3" w14:textId="77777777" w:rsidR="00987E1E" w:rsidRDefault="00987E1E" w:rsidP="00103C70">
      <w:pPr>
        <w:jc w:val="both"/>
      </w:pPr>
    </w:p>
    <w:sectPr w:rsidR="00987E1E" w:rsidSect="0003448A">
      <w:pgSz w:w="16838" w:h="11906" w:orient="landscape"/>
      <w:pgMar w:top="567" w:right="720" w:bottom="720" w:left="68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D471371"/>
    <w:multiLevelType w:val="hybridMultilevel"/>
    <w:tmpl w:val="C38C6940"/>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4A9B7138"/>
    <w:multiLevelType w:val="hybridMultilevel"/>
    <w:tmpl w:val="31CCB620"/>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58E05AB3"/>
    <w:multiLevelType w:val="hybridMultilevel"/>
    <w:tmpl w:val="C56A3128"/>
    <w:lvl w:ilvl="0" w:tplc="A95EF29A">
      <w:numFmt w:val="bullet"/>
      <w:lvlText w:val="-"/>
      <w:lvlJc w:val="left"/>
      <w:pPr>
        <w:ind w:left="1080" w:hanging="360"/>
      </w:pPr>
      <w:rPr>
        <w:rFonts w:ascii="Calibri" w:eastAsiaTheme="minorHAnsi" w:hAnsi="Calibri" w:cs="Calibri"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num w:numId="1" w16cid:durableId="1245143550">
    <w:abstractNumId w:val="0"/>
  </w:num>
  <w:num w:numId="2" w16cid:durableId="1121415049">
    <w:abstractNumId w:val="1"/>
  </w:num>
  <w:num w:numId="3" w16cid:durableId="30304626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448A"/>
    <w:rsid w:val="0003448A"/>
    <w:rsid w:val="000A4A43"/>
    <w:rsid w:val="00103C70"/>
    <w:rsid w:val="00497164"/>
    <w:rsid w:val="004A3450"/>
    <w:rsid w:val="00520DDE"/>
    <w:rsid w:val="00987E1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C46E49"/>
  <w15:chartTrackingRefBased/>
  <w15:docId w15:val="{6A933542-5299-437B-B9E1-1A42CDA80E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3448A"/>
    <w:pPr>
      <w:spacing w:line="259" w:lineRule="auto"/>
    </w:pPr>
    <w:rPr>
      <w:kern w:val="0"/>
      <w:sz w:val="22"/>
      <w:szCs w:val="22"/>
      <w14:ligatures w14:val="none"/>
    </w:rPr>
  </w:style>
  <w:style w:type="paragraph" w:styleId="Ttulo1">
    <w:name w:val="heading 1"/>
    <w:basedOn w:val="Normal"/>
    <w:next w:val="Normal"/>
    <w:link w:val="Ttulo1Car"/>
    <w:uiPriority w:val="9"/>
    <w:qFormat/>
    <w:rsid w:val="0003448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03448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03448A"/>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03448A"/>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03448A"/>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03448A"/>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03448A"/>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03448A"/>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03448A"/>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03448A"/>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03448A"/>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03448A"/>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03448A"/>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03448A"/>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03448A"/>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03448A"/>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03448A"/>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03448A"/>
    <w:rPr>
      <w:rFonts w:eastAsiaTheme="majorEastAsia" w:cstheme="majorBidi"/>
      <w:color w:val="272727" w:themeColor="text1" w:themeTint="D8"/>
    </w:rPr>
  </w:style>
  <w:style w:type="paragraph" w:styleId="Ttulo">
    <w:name w:val="Title"/>
    <w:basedOn w:val="Normal"/>
    <w:next w:val="Normal"/>
    <w:link w:val="TtuloCar"/>
    <w:uiPriority w:val="10"/>
    <w:qFormat/>
    <w:rsid w:val="0003448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03448A"/>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03448A"/>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03448A"/>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03448A"/>
    <w:pPr>
      <w:spacing w:before="160"/>
      <w:jc w:val="center"/>
    </w:pPr>
    <w:rPr>
      <w:i/>
      <w:iCs/>
      <w:color w:val="404040" w:themeColor="text1" w:themeTint="BF"/>
    </w:rPr>
  </w:style>
  <w:style w:type="character" w:customStyle="1" w:styleId="CitaCar">
    <w:name w:val="Cita Car"/>
    <w:basedOn w:val="Fuentedeprrafopredeter"/>
    <w:link w:val="Cita"/>
    <w:uiPriority w:val="29"/>
    <w:rsid w:val="0003448A"/>
    <w:rPr>
      <w:i/>
      <w:iCs/>
      <w:color w:val="404040" w:themeColor="text1" w:themeTint="BF"/>
    </w:rPr>
  </w:style>
  <w:style w:type="paragraph" w:styleId="Prrafodelista">
    <w:name w:val="List Paragraph"/>
    <w:basedOn w:val="Normal"/>
    <w:uiPriority w:val="34"/>
    <w:qFormat/>
    <w:rsid w:val="0003448A"/>
    <w:pPr>
      <w:ind w:left="720"/>
      <w:contextualSpacing/>
    </w:pPr>
  </w:style>
  <w:style w:type="character" w:styleId="nfasisintenso">
    <w:name w:val="Intense Emphasis"/>
    <w:basedOn w:val="Fuentedeprrafopredeter"/>
    <w:uiPriority w:val="21"/>
    <w:qFormat/>
    <w:rsid w:val="0003448A"/>
    <w:rPr>
      <w:i/>
      <w:iCs/>
      <w:color w:val="0F4761" w:themeColor="accent1" w:themeShade="BF"/>
    </w:rPr>
  </w:style>
  <w:style w:type="paragraph" w:styleId="Citadestacada">
    <w:name w:val="Intense Quote"/>
    <w:basedOn w:val="Normal"/>
    <w:next w:val="Normal"/>
    <w:link w:val="CitadestacadaCar"/>
    <w:uiPriority w:val="30"/>
    <w:qFormat/>
    <w:rsid w:val="0003448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03448A"/>
    <w:rPr>
      <w:i/>
      <w:iCs/>
      <w:color w:val="0F4761" w:themeColor="accent1" w:themeShade="BF"/>
    </w:rPr>
  </w:style>
  <w:style w:type="character" w:styleId="Referenciaintensa">
    <w:name w:val="Intense Reference"/>
    <w:basedOn w:val="Fuentedeprrafopredeter"/>
    <w:uiPriority w:val="32"/>
    <w:qFormat/>
    <w:rsid w:val="0003448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403</Words>
  <Characters>2218</Characters>
  <Application>Microsoft Office Word</Application>
  <DocSecurity>0</DocSecurity>
  <Lines>18</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cp:keywords/>
  <dc:description/>
  <cp:lastModifiedBy>Maria Sanz</cp:lastModifiedBy>
  <cp:revision>2</cp:revision>
  <dcterms:created xsi:type="dcterms:W3CDTF">2025-08-14T09:39:00Z</dcterms:created>
  <dcterms:modified xsi:type="dcterms:W3CDTF">2025-08-14T09:39:00Z</dcterms:modified>
</cp:coreProperties>
</file>